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3E4310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30-31 марта</w:t>
            </w:r>
            <w:r w:rsidR="008E3BCC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BB613C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sz w:val="36"/>
                <w:szCs w:val="36"/>
              </w:rPr>
            </w:pPr>
            <w:r w:rsidRPr="00BB613C">
              <w:rPr>
                <w:b/>
                <w:i/>
                <w:sz w:val="28"/>
                <w:szCs w:val="28"/>
              </w:rPr>
              <w:t>«</w:t>
            </w:r>
            <w:r w:rsidR="003E4310" w:rsidRPr="003E4310">
              <w:rPr>
                <w:b/>
                <w:i/>
                <w:sz w:val="32"/>
                <w:szCs w:val="32"/>
              </w:rPr>
              <w:t>Базовые экономические нормативы (</w:t>
            </w:r>
            <w:proofErr w:type="spellStart"/>
            <w:r w:rsidR="003E4310" w:rsidRPr="003E4310">
              <w:rPr>
                <w:b/>
                <w:i/>
                <w:sz w:val="32"/>
                <w:szCs w:val="32"/>
              </w:rPr>
              <w:t>ОЭНиП</w:t>
            </w:r>
            <w:proofErr w:type="spellEnd"/>
            <w:r w:rsidR="003E4310" w:rsidRPr="003E4310">
              <w:rPr>
                <w:b/>
                <w:i/>
                <w:sz w:val="32"/>
                <w:szCs w:val="32"/>
              </w:rPr>
              <w:t>). Расчет, согласование и их сквозная аналитика в расчетно-калькуляционных материалах</w:t>
            </w:r>
            <w:r w:rsidRPr="00BB613C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C16381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C16381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3E4310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AD7E63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СКИДКИ и спец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иальные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E3BCC" w:rsidRPr="008E3BCC" w:rsidRDefault="008E3BCC" w:rsidP="008E3BCC">
            <w:pPr>
              <w:spacing w:after="0" w:line="240" w:lineRule="auto"/>
              <w:ind w:left="927"/>
              <w:jc w:val="center"/>
              <w:rPr>
                <w:sz w:val="20"/>
                <w:szCs w:val="20"/>
                <w:u w:val="single"/>
              </w:rPr>
            </w:pPr>
            <w:r w:rsidRPr="008E3BCC">
              <w:rPr>
                <w:sz w:val="20"/>
                <w:szCs w:val="20"/>
                <w:u w:val="single"/>
              </w:rPr>
              <w:t>При условии участия двух и более сотрудников от одного предприятия предоставляется на выбор: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скидка от 10% до 20% от цены участия;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билеты в один из популярных театров</w:t>
            </w:r>
          </w:p>
          <w:p w:rsidR="008E3BCC" w:rsidRPr="008E3BCC" w:rsidRDefault="008E3BCC" w:rsidP="008E3B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деловой ужин в ресторане «Гуси-Лебеди»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3E3C28" w:rsidP="003E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2D72"/>
    <w:rsid w:val="003E3C28"/>
    <w:rsid w:val="003E4310"/>
    <w:rsid w:val="003F0820"/>
    <w:rsid w:val="00404389"/>
    <w:rsid w:val="00425CE7"/>
    <w:rsid w:val="0042660A"/>
    <w:rsid w:val="004572ED"/>
    <w:rsid w:val="00471D6B"/>
    <w:rsid w:val="00475213"/>
    <w:rsid w:val="00486F01"/>
    <w:rsid w:val="004A103B"/>
    <w:rsid w:val="004A491A"/>
    <w:rsid w:val="004E405A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A780F"/>
    <w:rsid w:val="007D05A2"/>
    <w:rsid w:val="008100BC"/>
    <w:rsid w:val="00861B2D"/>
    <w:rsid w:val="00887DAC"/>
    <w:rsid w:val="008966F0"/>
    <w:rsid w:val="0089691D"/>
    <w:rsid w:val="008B0518"/>
    <w:rsid w:val="008E3BCC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D7E63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B613C"/>
    <w:rsid w:val="00BC0567"/>
    <w:rsid w:val="00BD6806"/>
    <w:rsid w:val="00BF5466"/>
    <w:rsid w:val="00C16381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9F14-73BC-40F5-87B3-C002C84E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15</cp:revision>
  <cp:lastPrinted>2019-02-14T08:58:00Z</cp:lastPrinted>
  <dcterms:created xsi:type="dcterms:W3CDTF">2021-09-14T07:39:00Z</dcterms:created>
  <dcterms:modified xsi:type="dcterms:W3CDTF">2023-01-24T08:01:00Z</dcterms:modified>
</cp:coreProperties>
</file>